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Jour 04: Margaree Harbor vers Baddeck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60,0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DÉPART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Hotel Duck Cove Inn. 1-902-235-2658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NS-30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6.5- 13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Montée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2%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Dancing Goat café/ bakery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31- 34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Montée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5%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Auld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40 -41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Montée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3%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NS-30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Trans-Canada Hwy/NS-105 E (panneaux vers 7/Margaree Forks/Cheticamp/Inverness/Nova Scotia 19/Cabot Trail)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ARRIVÉE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Motel The Baddeck Inn. 1-844-887-0200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